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0C67" w14:textId="1C1EE14A" w:rsidR="00670ACA" w:rsidRPr="00AA76CD" w:rsidRDefault="00670ACA" w:rsidP="00670A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ПОСТАНОВЛЕНИЕ</w:t>
      </w:r>
    </w:p>
    <w:p w14:paraId="38E18F14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 внесении изменений в некоторые нормативные акты Национального</w:t>
      </w:r>
    </w:p>
    <w:p w14:paraId="403ACCEE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банка Молдовы (изменение правил, касающихся расчетного/</w:t>
      </w:r>
    </w:p>
    <w:p w14:paraId="2AD4980F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поставочного риска и расчета специфических и общих</w:t>
      </w:r>
    </w:p>
    <w:p w14:paraId="38DA49DF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корректировок кредитного риска – подход IRB)</w:t>
      </w:r>
    </w:p>
    <w:p w14:paraId="2950C25C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 </w:t>
      </w:r>
    </w:p>
    <w:p w14:paraId="1A3D0ECD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№ 74  от  26.03.2026</w:t>
      </w:r>
    </w:p>
    <w:p w14:paraId="336D9DF9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  <w:r w:rsidRPr="00AA76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o-MD"/>
          <w14:ligatures w14:val="none"/>
        </w:rPr>
        <w:t>(в силу 01.07.2027)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0F522896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DEBAEC6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Мониторул Офичиал ал Р. Молдова № 146-147 ст. 260 от 02.04.2026</w:t>
      </w:r>
    </w:p>
    <w:p w14:paraId="359CC92F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5ADECF16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* * *</w:t>
      </w:r>
    </w:p>
    <w:p w14:paraId="30BB75FB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 основании ст.64 ч.(1) и (2), ст.66 ч.(1) Закона о деятельности банков № 202/2017 (Официальный монитор Республики Молдова, 2017, № 434-439, ст.727), Исполнительный комитет Национального банка Молдовы</w:t>
      </w:r>
    </w:p>
    <w:p w14:paraId="22A9E2BF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6A6C7494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Настоящее постановление:</w:t>
      </w:r>
    </w:p>
    <w:p w14:paraId="5DC13EA3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- частично перелагает (перелагает: ст.110 (2) – (3) и ст.379 (2)) Регламент (ЕС) № 575/2013 Европейского Парламента и Совета о пруденциальных требованиях к кредитным учреждениям и инвестиционным фирмам, </w:t>
      </w:r>
      <w:r w:rsidRPr="00AA76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o-MD"/>
          <w14:ligatures w14:val="none"/>
        </w:rPr>
        <w:t>вносящий изменения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Регламент (ЕС) № 648/2012, </w:t>
      </w:r>
      <w:r w:rsidRPr="00AA76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o-MD"/>
          <w14:ligatures w14:val="none"/>
        </w:rPr>
        <w:t>Текст с релевантностью EEA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, CELEX: 32013R0575, опубликованный в Официальном журнале Европейского Союза L 176 от 27 июня 2013 г., с последними изменениями, внесенными Регламентом (ЕС) 2025/1215 Европейского Парламента и Совета от 17 июня 2025 г.;</w:t>
      </w:r>
    </w:p>
    <w:p w14:paraId="598CCA21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- перелагает ст.1 (6), 2 (2) и (3), 4 и 6 делегированного Регламента (ЕС) № 183/2014 Комиссии от 20 декабря 2013 г., дополняющего Регламент (ЕС) № 575/2013 Европейского Парламента и Совета о пруденциальных требованиях к кредитным учреждениям и инвестиционным компаниям в отношении нормативно-технических стандартов, определяющих расчет корректировок кредитного риска и общих корректировок кредитного риска, опубликованного в Официальном журнале Европейского союза № L 57 от 27 февраля 2014 г., CELEX: 32014R0183, с последними изменениями, внесенными делегированным Регламентом (ЕС) 2022/954 от 12 мая 2022 г.</w:t>
      </w:r>
    </w:p>
    <w:p w14:paraId="093348CE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Регламент об отношении к риску расчета/поставки для банков, утвержденный Постановлением Исполнительного комитета Национального банка Молдовы № 115/2018 (Официальный монитор Республики Молдова, 2018, № 183-194, ст.905), зарегистрированным в Министерстве юстиции Республики Молдова под № 1330/2018, внести следующие изменения:</w:t>
      </w:r>
    </w:p>
    <w:p w14:paraId="0F7CC122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1.1. формулу гармонизации изложить в следующей редакции:</w:t>
      </w:r>
    </w:p>
    <w:p w14:paraId="4009F4F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"Настоящий регламент перелагает ст.378-380 Регламента (ЕС) № 575/2013 Европейского Парламента и Совета от 26 июня 2013 г. о пруденциальных требованиях к кредитным организациям и инвестиционным фирмам, вносящего изменения в Регламент (ЕС) № 648/2012, опубликованного в Официальном журнале Европейского союза № L 176 от 27 июня 2013 г., CELEX: 32013R0575, измененного делегированным Регламентом (ЕС) 2025/1215 Европейского Парламента и Совета от 17 июня 2025 г.";</w:t>
      </w:r>
    </w:p>
    <w:p w14:paraId="590789BC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1.2. в пункте 9 текст "графой 4 таблицы 2 пункта 8 настоящего регламента" заменить текстом "положениями таблицы 2";</w:t>
      </w:r>
    </w:p>
    <w:p w14:paraId="113BE19E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1.3. в пункте 10 текст "пункта 8" заменить текстом "пункта 9";</w:t>
      </w:r>
    </w:p>
    <w:p w14:paraId="414B289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1.4. дополнить пунктом 11 следующего содержания:</w:t>
      </w:r>
    </w:p>
    <w:p w14:paraId="7B60F98D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11.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При применении коэффициента риска к подверженностям по незавершенным сделкам, рассматриваемым в соответствии с положениями, изложенными в графе 3 таблицы 2, банк, использующий подход, основанный на внутренних рейтингах (далее именуемый IRB), может присваивать вероятность непогашения контрагентам, по которым у него нет 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других подверженностей вне торгового портфеля, на основе внешнего рейтинга контрагента. Банки, использующие собственные оценки убытков в случае непогашения (LGD), могут применять сумму убытков в случае непогашения, рассчитанную по IRB к кредитному риску, к подверженностям по незавершенным сделкам, рассматриваемым в соответствии с положениями, изложенными в графе 3 таблицы 2, при условии, что они применяют эту сумму убытков в случае непогашения ко всем таким подверженностям. В качестве альтернативы банк, использующий подход IRB, может применять коэффициенты риска стандартизированного подхода, как это предусмотрено в Регламенте о подходе к кредитному риску для банков согласно стандартизированному подходу, утвержденном Постановлением Исполнительного комитета Национального банка Молдовы № 111/2018, при условии, что он применяет их ко всем видам подверженностей, или он может применять коэффициент риска 100% ко всем видам подверженностей.".</w:t>
      </w:r>
    </w:p>
    <w:p w14:paraId="5252881D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433C9DF9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Регламент о расчете банками специфических корректировок и общих корректировок для кредитного риска, утвержденный Постановлением Исполнительного комитета Национального банка Молдовы № 116/2018 (Официальный монитор Республики Молдова, 2018, № 183-194, ст.906), зарегистрированным в Министерстве юстиции Республики Молдова под № 1331/2018, внести следующие изменения:</w:t>
      </w:r>
    </w:p>
    <w:p w14:paraId="07852058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2.1. формулу гармонизации изложить в следующей редакции:</w:t>
      </w:r>
    </w:p>
    <w:p w14:paraId="19367D01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"Настоящий регламент:</w:t>
      </w:r>
    </w:p>
    <w:p w14:paraId="5A664935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a) частично перелагает (перелагает ст.4 (1) п.1 и 95, и ст.110 (1)-(3)) Регламент (ЕС) № 575/2013 Европейского Парламента и Совета от 26 июня 2013 г. о пруденциальных требованиях к кредитным организациям, вносящий изменения в Регламент (ЕС) № 648/2012, опубликованный в Официальном журнале Европейского Союза № L 176 от 27 июня 2013 г., CELEX: 32013R0575, измененный Регламентом (ЕС) 2025/1215 Европейского Парламента и Совета от 17 июня 2025 г.;</w:t>
      </w:r>
    </w:p>
    <w:p w14:paraId="211358C9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перелагает делегированный Регламент (ЕС) № 183/2014 Комиссии от 20 декабря 2013 г., дополняющий Регламент (ЕС) № 575/2013 Европейского парламента и Совета о пруденциальных требованиях к кредитным учреждениям и инвестиционным компаниям в отношении нормативно-технических стандартов, определяющих расчет корректировок кредитного риска и общих корректировок кредитного риска, опубликованный в Официальном журнале Европейского Союза № L 57 от 27 февраля 2014 г., CELEX: 32014R0183, с последними изменениями, внесенными делегированным Регламентом (ЕС) 2022/954 от 12 мая 2022 г.";</w:t>
      </w:r>
    </w:p>
    <w:p w14:paraId="7E41EB63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2.2. дополнить пунктами 4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4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41F02309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Банки, применяющие подход, основанный на внутренних рейтингах (далее – IRB), осуществляют общие корректировки кредитного риска в соответствии с порядком расчета ожидаемых потерь при использовании дефицитного и избыточного подхода IRB, а также в соответствии с положениями Регламента о собственных средствах банков и требованиях капитала, утвержденного Постановлением Исполнительного комитета Национального банка Молдовы № 109/2018.</w:t>
      </w:r>
    </w:p>
    <w:p w14:paraId="347CE3AA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соответствии с настоящим регламентом и Регламентом о подходе к кредитному риску для банков согласно стандартизированному подходу, утвержденным Постановлением Исполнительного комитета Национального банка Молдовы № 111/2018, и подходом IRB, общие и специальные корректировки кредитного риска исключают средства для общих банковских рисков.</w:t>
      </w:r>
    </w:p>
    <w:p w14:paraId="3636D0F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Банки, использующие подход IRB и применяющие стандартизированный подход к части своих подверженностей, на консолидированной или индивидуальной основе, в соответствии с условиями внедрения подхода IRB для различных классов подверженностей и операционных подразделений, а также условиями постоянного частичного использования, должны определять часть общей корректировки кредитного риска, которая 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подлежит обработке в соответствии со стандартизированным подходом, и часть, которая подлежит обработке в соответствии с подходом IRB, следующим образом:</w:t>
      </w:r>
    </w:p>
    <w:p w14:paraId="6FFB7642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1) если банк, включенный в консолидацию, применяет исключительно подход IRB, то общие корректировки кредитного риска этого банка подлежат обработке в соответствии с пунктом 4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и 4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;</w:t>
      </w:r>
    </w:p>
    <w:p w14:paraId="1CF4BCB6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2) если банк, включенный в консолидацию, применяет исключительно стандартизированный подход, то общие корректировки кредитного риска этого банка подлежат обработке в соответствии с положениями, касающимися собственных средств и требований к капиталу банков;</w:t>
      </w:r>
    </w:p>
    <w:p w14:paraId="73F859F8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3) оставшаяся сумма корректировки кредитного риска распределяется пропорционально в соответствии с долей взвешенных по риску сумм рисков, подлежащих стандартизированному подходу, и рисков, подлежащих подходу IRB.";</w:t>
      </w:r>
    </w:p>
    <w:p w14:paraId="19A086B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2.3. дополнить пунктом 11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3E5CEBA1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11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Без ущерба для пунктов 6 и 7, при расчете специфических корректировок кредитного риска для целей присвоения весовых коэффициентов риска, указанных в пункте 73 Регламента о подходе к кредитному риску для банков согласно стандартизированному подходу, утвержденного Постановлением Исполнительного комитета Национального банка Молдовы № 111/2018, необеспеченной части просроченной задолженности, банки должны включать любую положительную разницу между суммой задолженности должника по данной задолженности и суммой следующих элементов:</w:t>
      </w:r>
    </w:p>
    <w:p w14:paraId="0DC84E7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1) уменьшение дополнительных собственных средств, если соответствующая подверженность была полностью выведена за баланс;</w:t>
      </w:r>
    </w:p>
    <w:p w14:paraId="5876EFF0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2) любые существовавшие ранее уменьшения собственных средств, связанные с данной подверженностью.";</w:t>
      </w:r>
    </w:p>
    <w:p w14:paraId="65DFB9AE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2.4. дополнить пунктами 12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и 12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52E32CD7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"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12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При обработке дефицита и избыточного подхода IRB для группы подверженностей в состоянии невозврата банки не обязаны присваивать конкретную корректировку кредитного риска отдельной подверженности в этой группе.</w:t>
      </w:r>
    </w:p>
    <w:p w14:paraId="703C0BC5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12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случаях, когда конкретная корректировка кредитного риска относится к группе подверженностей, для которых требования к собственным средствам для покрытия кредитного риска рассчитываются частично по стандартизированному подходу, а частично по подходу IRB, банк должен отнести эту конкретную корректировку кредитного риска к группе подверженностей, охватываемой каждым из двух подходов, пропорционально взвешенным по риску суммам подверженностей группы до применения мер, указанных в пунктах 12 и 12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 Для этой цели суммы рисков определяются без учета конкретных корректировок кредитного риска.";</w:t>
      </w:r>
    </w:p>
    <w:p w14:paraId="4A9C7256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2.5. название главы IV изложить в следующей редакции:</w:t>
      </w:r>
    </w:p>
    <w:p w14:paraId="6EDB2B20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"Глава IV</w:t>
      </w:r>
    </w:p>
    <w:p w14:paraId="69125B51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РАСЧЕТ КОРРЕКТИРОВОК КРЕДИТНОГО РИСКА С ЦЕЛЬЮ</w:t>
      </w:r>
    </w:p>
    <w:p w14:paraId="00461376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ОПРЕДЕЛЕНИЯ СТОИМОСТИ ПОДВЕРЖЕННОСТИ"</w:t>
      </w:r>
    </w:p>
    <w:p w14:paraId="1B6551F6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2.6. дополнить главой V следующего содержания:</w:t>
      </w:r>
    </w:p>
    <w:p w14:paraId="190617C6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"Глава V</w:t>
      </w:r>
    </w:p>
    <w:p w14:paraId="19CABAC8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РАСЧЕТ ОБЩИХ И СПЕЦИФИЧЕСКИХ КОРРЕКТИРОВОК КРЕДИТНОГО РИСКА С</w:t>
      </w:r>
    </w:p>
    <w:p w14:paraId="116C58CF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ЦЕЛЬЮ УЧЕТА ОЖИДАЕМЫХ СУММ УБЫТКОВ В СООТВЕТСТВИИ С УЧЕТОМ</w:t>
      </w:r>
    </w:p>
    <w:p w14:paraId="0497C1FD" w14:textId="77777777" w:rsidR="00670ACA" w:rsidRPr="00AA76CD" w:rsidRDefault="00670ACA" w:rsidP="0067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ОЖИДАЕМЫХ СУММ, ДЕФФИЦИТА И ИЗБЫТКА В РАМКАХ ПОДХОДА IRB</w:t>
      </w:r>
    </w:p>
    <w:p w14:paraId="4CF9B0A5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16.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целях учета ожидаемых сумм убытков в соответствии с порядком учета ожидаемых сумм убытков, дефицита и избытка в рамках подхода IRB к кредитному риску банк рассчитывает общую сумму корректировок общего кредитного риска для подверженностей, включенных в учет ожидаемых сумм убытков, как сумму сумм, 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отнесенных к корректировкам общего кредитного риска в соответствии с главой II, которые банк выделил в соответствии с положениями пункта 4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21FA8A74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17.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целях учета ожидаемых сумм убытков в соответствии с порядком учета ожидаемых сумм убытков, дефицита и избытка в рамках подхода IRB к кредитному риску общая сумма корректировок по конкретному кредитному риску для подверженностей, включенных в порядок учета ожидаемых сумм убытков, рассчитывается как сумма значений, указанных в подпунктах 1) и 2), за исключением подверженностей в состоянии невозврата:</w:t>
      </w:r>
    </w:p>
    <w:p w14:paraId="239E35D2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1) суммы, определенные как корректировки по конкретному кредитному риску в соответствии с главой II, которые относятся к кредитному риску отдельной подверженности;</w:t>
      </w:r>
    </w:p>
    <w:p w14:paraId="07837D2E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2) суммы, определенные как корректировки по конкретному кредитному риску в соответствии с главой II, которые относятся к кредитному риску группы подверженностей и которые были присвоены в соответствии с главой III.</w:t>
      </w:r>
    </w:p>
    <w:p w14:paraId="5A65F08D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18.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Общая сумма специфических корректировок для кредитного риска, связанных с подверженностью в состоянии невозврата, должна быть равна либо сумме всех значений корректировок специфического кредитного риска, относящихся к данной отдельной подверженности, либо сумме всех значений корректировок специфического кредитного риска, которые банк присвоил данной подверженности в соответствии с главой III.</w:t>
      </w:r>
    </w:p>
    <w:p w14:paraId="13CA3CD3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19.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Банки должны формализовать определение и расчет общих корректировок кредитного риска и специфических корректировок кредитного риска.".</w:t>
      </w:r>
    </w:p>
    <w:p w14:paraId="508C17D5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297B3486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3.</w:t>
      </w: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Настоящее постановление вступает в силу 1 июля 2027 г.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2164"/>
      </w:tblGrid>
      <w:tr w:rsidR="00670ACA" w:rsidRPr="00AA76CD" w14:paraId="02B183A6" w14:textId="77777777" w:rsidTr="00670A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69AD2F7" w14:textId="77777777" w:rsidR="00670ACA" w:rsidRPr="00AA76CD" w:rsidRDefault="00670ACA" w:rsidP="00670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AA76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C4937" w14:textId="77777777" w:rsidR="00670ACA" w:rsidRPr="00AA76CD" w:rsidRDefault="00670ACA" w:rsidP="00670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670ACA" w:rsidRPr="00AA76CD" w14:paraId="6B162E93" w14:textId="77777777" w:rsidTr="00670A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F142169" w14:textId="77777777" w:rsidR="00670ACA" w:rsidRPr="00AA76CD" w:rsidRDefault="00670ACA" w:rsidP="00670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AA76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2BC7E" w14:textId="77777777" w:rsidR="00670ACA" w:rsidRPr="00AA76CD" w:rsidRDefault="00670ACA" w:rsidP="00670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AA76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Анка-Дана ДРАГУ</w:t>
            </w:r>
          </w:p>
        </w:tc>
      </w:tr>
      <w:tr w:rsidR="00670ACA" w:rsidRPr="00AA76CD" w14:paraId="6BEC673B" w14:textId="77777777" w:rsidTr="00670AC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D05A088" w14:textId="77777777" w:rsidR="00670ACA" w:rsidRPr="00AA76CD" w:rsidRDefault="00670ACA" w:rsidP="00670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AA76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№ 74. Кишинэу, 26 марта 2026 г.</w:t>
            </w:r>
          </w:p>
        </w:tc>
      </w:tr>
    </w:tbl>
    <w:p w14:paraId="67413CDD" w14:textId="77777777" w:rsidR="00670ACA" w:rsidRPr="00AA76CD" w:rsidRDefault="00670ACA" w:rsidP="0067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AA76C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</w:p>
    <w:p w14:paraId="61598DC3" w14:textId="77777777" w:rsidR="00C60738" w:rsidRPr="00AA76CD" w:rsidRDefault="00C6073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60738" w:rsidRPr="00AA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CA"/>
    <w:rsid w:val="00670ACA"/>
    <w:rsid w:val="00AA76CD"/>
    <w:rsid w:val="00C6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F544"/>
  <w15:chartTrackingRefBased/>
  <w15:docId w15:val="{FF554239-0EF9-421A-999C-2E420AB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6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1699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I. Rogoja</cp:lastModifiedBy>
  <cp:revision>2</cp:revision>
  <dcterms:created xsi:type="dcterms:W3CDTF">2026-04-06T14:54:00Z</dcterms:created>
  <dcterms:modified xsi:type="dcterms:W3CDTF">2026-04-29T06:21:00Z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2026-04-06T14:56:06Z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99ef5023-0666-453b-83fa-95e97e1470ce</vt:lpwstr>
  </property>
  <property fmtid="{D5CDD505-2E9C-101B-9397-08002B2CF9AE}" pid="8" name="MSIP_Label_38962dcf-d39f-4edc-a396-338a56ba9170_ContentBits">
    <vt:lpwstr>0</vt:lpwstr>
  </property>
</Properties>
</file>